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1C" w:rsidRDefault="00AF641C" w:rsidP="00AF641C">
      <w:pPr>
        <w:pStyle w:val="Heading1"/>
      </w:pPr>
      <w:r>
        <w:t>Breakout groups WP2</w:t>
      </w:r>
    </w:p>
    <w:p w:rsidR="00710275" w:rsidRDefault="00AF641C" w:rsidP="00AF641C">
      <w:pPr>
        <w:pStyle w:val="Heading1"/>
      </w:pPr>
      <w:r>
        <w:t>Meeting 1 SAMS 2015.03.25</w:t>
      </w:r>
    </w:p>
    <w:p w:rsidR="00710275" w:rsidRDefault="00710275" w:rsidP="00AF641C">
      <w:pPr>
        <w:pStyle w:val="Heading2"/>
      </w:pPr>
      <w:r>
        <w:t xml:space="preserve">T2.1 </w:t>
      </w:r>
      <w:r w:rsidRPr="00416AE7">
        <w:t>Assessment of Policy-Management Issues</w:t>
      </w:r>
    </w:p>
    <w:p w:rsidR="00AF641C" w:rsidRPr="00AF641C" w:rsidRDefault="00AF641C" w:rsidP="00AF641C">
      <w:pPr>
        <w:pStyle w:val="Heading3"/>
      </w:pPr>
      <w:r>
        <w:t>DOW text</w:t>
      </w:r>
    </w:p>
    <w:p w:rsidR="009E0B2B" w:rsidRDefault="00710275">
      <w:r>
        <w:t>Conduct</w:t>
      </w:r>
      <w:r w:rsidRPr="00A428E8">
        <w:t xml:space="preserve"> a regional review of current approaches to spatial planning, identifying major gaps, barriers to implementation, and the main steps for conforming to the </w:t>
      </w:r>
      <w:r w:rsidRPr="00771EA7">
        <w:t xml:space="preserve">Ecosystem Approach to Aquaculture </w:t>
      </w:r>
      <w:r>
        <w:t>(</w:t>
      </w:r>
      <w:r w:rsidRPr="00A428E8">
        <w:t>EAA</w:t>
      </w:r>
      <w:r>
        <w:t>)</w:t>
      </w:r>
      <w:r w:rsidRPr="00A428E8">
        <w:t>. This revi</w:t>
      </w:r>
      <w:r>
        <w:t>ew will include Europe plus non-</w:t>
      </w:r>
      <w:r w:rsidRPr="00A428E8">
        <w:t xml:space="preserve">EU Mediterranean and Black Sea countries, covering the General Fisheries Commission for the Mediterranean (GFCM) area of competence. It will be presented and discussed in a regional workshop attended by internationally recognized experts, including relevant FAO/GFCM staff, and cover relevant core topics. Expertise for the workshop will include academic, regulatory, and consultative sectors, and regional </w:t>
      </w:r>
      <w:r>
        <w:rPr>
          <w:shd w:val="clear" w:color="auto" w:fill="FFFFFF"/>
        </w:rPr>
        <w:t xml:space="preserve">(e.g. Aquaculture Multi-Stakeholder Platform, AMShP) </w:t>
      </w:r>
      <w:r w:rsidRPr="00A428E8">
        <w:t>and national stakeholder platforms on aquaculture, giving a broad perspective of views on the core topics.</w:t>
      </w:r>
      <w:r>
        <w:t xml:space="preserve"> The selection of attendants will be closely coordinated with </w:t>
      </w:r>
      <w:r w:rsidRPr="00EB63E5">
        <w:t>T6.1: (Establish a User Reference Group of Stakeholders from Key Organisations).</w:t>
      </w:r>
    </w:p>
    <w:p w:rsidR="00710275" w:rsidRDefault="00710275" w:rsidP="00710275">
      <w:pPr>
        <w:jc w:val="both"/>
      </w:pPr>
      <w:r>
        <w:t xml:space="preserve">The regional review will also cover aspects of </w:t>
      </w:r>
      <w:r w:rsidRPr="00D00EBF">
        <w:t>aquaculture-environment</w:t>
      </w:r>
      <w:r>
        <w:t xml:space="preserve"> (T2.2)</w:t>
      </w:r>
      <w:r w:rsidRPr="00D00EBF">
        <w:t>, aquaculture-other sector</w:t>
      </w:r>
      <w:r>
        <w:t xml:space="preserve"> (T2.3),</w:t>
      </w:r>
      <w:r w:rsidRPr="00D00EBF">
        <w:t xml:space="preserve"> and market</w:t>
      </w:r>
      <w:r>
        <w:t xml:space="preserve"> (T2.4)</w:t>
      </w:r>
      <w:r w:rsidRPr="00D00EBF">
        <w:t xml:space="preserve"> issues</w:t>
      </w:r>
      <w:r>
        <w:t>.</w:t>
      </w:r>
    </w:p>
    <w:p w:rsidR="00710275" w:rsidRDefault="00710275" w:rsidP="00710275">
      <w:pPr>
        <w:jc w:val="both"/>
      </w:pPr>
      <w:r w:rsidRPr="00A428E8">
        <w:t xml:space="preserve">At national scales, spatial expansion of aquaculture is challenged by </w:t>
      </w:r>
      <w:r>
        <w:t xml:space="preserve">planning and </w:t>
      </w:r>
      <w:r w:rsidRPr="00A428E8">
        <w:t>licensing issues that make private investment lengthy, costly, and unattractive.</w:t>
      </w:r>
      <w:r>
        <w:t xml:space="preserve"> This regional review will identify and where possible quantify the relevant issues; one of its uses, together with other data, will be to develop indicators for rapid assessment and comparison.</w:t>
      </w:r>
    </w:p>
    <w:p w:rsidR="001636DB" w:rsidRDefault="001636DB" w:rsidP="001636DB">
      <w:pPr>
        <w:spacing w:before="60" w:after="60"/>
      </w:pPr>
      <w:r>
        <w:t>D2.1 Regional review on Policy-Management in Mariculture. This includes sections on Aquaculture-Environment, Aquaculture-Other issues, i.e. it is an output of Tasks 2.1, 2.2, 2.3, and 2.4 (month 12)</w:t>
      </w:r>
    </w:p>
    <w:p w:rsidR="001636DB" w:rsidRDefault="001636DB" w:rsidP="001636DB">
      <w:pPr>
        <w:spacing w:before="60" w:after="60"/>
      </w:pPr>
      <w:r>
        <w:t>D2.2 Regional review on Policy-Management in Freshwater Aquaculture. This includes sections on Aquaculture-Environment, and Aquaculture-Other issues, i.e. it is an output of Tasks 2.1, 2.2, 2.3, and 2.4 (month 12)</w:t>
      </w:r>
    </w:p>
    <w:p w:rsidR="001636DB" w:rsidRDefault="001636DB" w:rsidP="001636DB">
      <w:pPr>
        <w:spacing w:before="60" w:after="60"/>
      </w:pPr>
      <w:r>
        <w:t>D2.3 On-line Policy-Management indicator application (month 15).</w:t>
      </w:r>
    </w:p>
    <w:p w:rsidR="00E46084" w:rsidRDefault="001636DB" w:rsidP="001636DB">
      <w:pPr>
        <w:spacing w:before="60" w:after="60"/>
      </w:pPr>
      <w:r>
        <w:t>D2.4 Smartphone ‘Investor-Appeal’ application (month 15).</w:t>
      </w:r>
    </w:p>
    <w:p w:rsidR="00E46084" w:rsidRDefault="00AF641C" w:rsidP="00AF641C">
      <w:pPr>
        <w:pStyle w:val="Heading2"/>
      </w:pPr>
      <w:r>
        <w:t>S</w:t>
      </w:r>
      <w:r w:rsidR="00E46084">
        <w:t xml:space="preserve">ummary </w:t>
      </w:r>
      <w:r>
        <w:t>minutes</w:t>
      </w:r>
    </w:p>
    <w:p w:rsidR="00E46084" w:rsidRDefault="00E46084" w:rsidP="001636DB">
      <w:pPr>
        <w:spacing w:before="60" w:after="60"/>
      </w:pPr>
      <w:r>
        <w:t>0900-1000 h</w:t>
      </w:r>
    </w:p>
    <w:p w:rsidR="00E46084" w:rsidRDefault="00E46084" w:rsidP="001636DB">
      <w:pPr>
        <w:spacing w:before="60" w:after="60"/>
      </w:pPr>
      <w:r>
        <w:t>Present: JAM (FAO), RAC, JGF (LLE), JG (UCC), VS, AG (TI), YK + 1 (UC), 1 (AZTI)</w:t>
      </w:r>
      <w:r w:rsidR="00AF641C">
        <w:t>, OS (IMR)</w:t>
      </w:r>
    </w:p>
    <w:p w:rsidR="00E46084" w:rsidRDefault="00E46084" w:rsidP="001636DB">
      <w:pPr>
        <w:spacing w:before="60" w:after="60"/>
      </w:pPr>
      <w:r>
        <w:t>Discussed what, how, and when for Task</w:t>
      </w:r>
      <w:r w:rsidR="00021248">
        <w:t xml:space="preserve"> </w:t>
      </w:r>
      <w:r>
        <w:t>2.1</w:t>
      </w:r>
    </w:p>
    <w:p w:rsidR="006325EE" w:rsidRDefault="00E46084" w:rsidP="006325EE">
      <w:pPr>
        <w:pStyle w:val="ListParagraph"/>
        <w:numPr>
          <w:ilvl w:val="0"/>
          <w:numId w:val="4"/>
        </w:numPr>
        <w:spacing w:before="60" w:after="60"/>
      </w:pPr>
      <w:r>
        <w:t>Review will include all of Europe</w:t>
      </w:r>
    </w:p>
    <w:p w:rsidR="006325EE" w:rsidRDefault="00E46084" w:rsidP="006325EE">
      <w:pPr>
        <w:pStyle w:val="ListParagraph"/>
        <w:numPr>
          <w:ilvl w:val="0"/>
          <w:numId w:val="4"/>
        </w:numPr>
        <w:spacing w:before="60" w:after="60"/>
      </w:pPr>
      <w:r>
        <w:t>FAO to do Med with General Fisheries Commission for the Mediterranean (GFCM)</w:t>
      </w:r>
    </w:p>
    <w:p w:rsidR="00021248" w:rsidRDefault="00021248" w:rsidP="006325EE">
      <w:pPr>
        <w:pStyle w:val="ListParagraph"/>
        <w:numPr>
          <w:ilvl w:val="0"/>
          <w:numId w:val="4"/>
        </w:numPr>
        <w:spacing w:before="60" w:after="60"/>
      </w:pPr>
      <w:r>
        <w:t>World Bank Meeting Irmiz (JG paid by FAO, maybe RAC paid by us)</w:t>
      </w:r>
    </w:p>
    <w:p w:rsidR="006325EE" w:rsidRDefault="006325EE" w:rsidP="006325EE">
      <w:pPr>
        <w:pStyle w:val="ListParagraph"/>
        <w:numPr>
          <w:ilvl w:val="0"/>
          <w:numId w:val="4"/>
        </w:numPr>
        <w:spacing w:before="60" w:after="60"/>
      </w:pPr>
      <w:r>
        <w:t>Group supports inclusion of USA (NOAA, Barry?) and Canada (UD, DFO?) re: policy</w:t>
      </w:r>
    </w:p>
    <w:p w:rsidR="006325EE" w:rsidRDefault="00E46084" w:rsidP="006325EE">
      <w:pPr>
        <w:pStyle w:val="ListParagraph"/>
        <w:numPr>
          <w:ilvl w:val="0"/>
          <w:numId w:val="4"/>
        </w:numPr>
        <w:spacing w:before="60" w:after="60"/>
      </w:pPr>
      <w:r>
        <w:t>Review will go to 70% stage, then distribution, then workshop, then final review document</w:t>
      </w:r>
    </w:p>
    <w:p w:rsidR="00021248" w:rsidRDefault="006325EE" w:rsidP="001636DB">
      <w:pPr>
        <w:pStyle w:val="ListParagraph"/>
        <w:numPr>
          <w:ilvl w:val="0"/>
          <w:numId w:val="4"/>
        </w:numPr>
        <w:spacing w:before="60" w:after="60"/>
      </w:pPr>
      <w:r>
        <w:t>Use EAS Rotterdam for a back to back meeting</w:t>
      </w:r>
    </w:p>
    <w:p w:rsidR="00021248" w:rsidRDefault="00E46084" w:rsidP="001636DB">
      <w:pPr>
        <w:pStyle w:val="ListParagraph"/>
        <w:numPr>
          <w:ilvl w:val="0"/>
          <w:numId w:val="4"/>
        </w:numPr>
        <w:spacing w:before="60" w:after="60"/>
      </w:pPr>
      <w:r>
        <w:lastRenderedPageBreak/>
        <w:t>Workshop in Mid-January 2016, Greece, final report end of May 2016</w:t>
      </w:r>
    </w:p>
    <w:p w:rsidR="00021248" w:rsidRDefault="00E46084" w:rsidP="001636DB">
      <w:pPr>
        <w:pStyle w:val="ListParagraph"/>
        <w:numPr>
          <w:ilvl w:val="0"/>
          <w:numId w:val="4"/>
        </w:numPr>
        <w:spacing w:before="60" w:after="60"/>
      </w:pPr>
      <w:r>
        <w:t>Adjust deliverable dates</w:t>
      </w:r>
    </w:p>
    <w:p w:rsidR="00021248" w:rsidRDefault="00E46084" w:rsidP="001636DB">
      <w:pPr>
        <w:pStyle w:val="ListParagraph"/>
        <w:numPr>
          <w:ilvl w:val="0"/>
          <w:numId w:val="4"/>
        </w:numPr>
        <w:spacing w:before="60" w:after="60"/>
      </w:pPr>
      <w:r>
        <w:t>Report could be</w:t>
      </w:r>
      <w:r w:rsidR="00AF641C">
        <w:t xml:space="preserve"> produced as a high quality book</w:t>
      </w:r>
      <w:r>
        <w:t>, and combine deliverables 2.1 and 2.2 (marine and FW)</w:t>
      </w:r>
    </w:p>
    <w:p w:rsidR="00E46084" w:rsidRDefault="00AF641C" w:rsidP="001636DB">
      <w:pPr>
        <w:pStyle w:val="ListParagraph"/>
        <w:numPr>
          <w:ilvl w:val="0"/>
          <w:numId w:val="4"/>
        </w:numPr>
        <w:spacing w:before="60" w:after="60"/>
      </w:pPr>
      <w:r>
        <w:t>Small working group with JG (will send something round in 1-2 weeks), JAM, RAC, JGF, NARIC (Gergo), maybe add OS to group.</w:t>
      </w:r>
    </w:p>
    <w:p w:rsidR="00710275" w:rsidRPr="00710275" w:rsidRDefault="00710275" w:rsidP="00AF641C">
      <w:pPr>
        <w:pStyle w:val="Heading2"/>
      </w:pPr>
      <w:r w:rsidRPr="00710275">
        <w:t>T2.2 Quantitative Assessment of Aquaculture-Environment issues</w:t>
      </w:r>
    </w:p>
    <w:p w:rsidR="00710275" w:rsidRDefault="00710275" w:rsidP="00710275">
      <w:pPr>
        <w:jc w:val="both"/>
      </w:pPr>
      <w:r>
        <w:t>This task will evaluate how</w:t>
      </w:r>
      <w:r w:rsidRPr="00A428E8">
        <w:t xml:space="preserve"> the environment limits cultured species </w:t>
      </w:r>
      <w:r>
        <w:t xml:space="preserve">(and infrastructure) </w:t>
      </w:r>
      <w:r w:rsidRPr="00A428E8">
        <w:t>selection and spatial deployment due to natural (e.g. bathymetry, current speed, temperature, dissolved oxygen), and anthropogenic</w:t>
      </w:r>
      <w:r>
        <w:t xml:space="preserve"> factors. The latter include</w:t>
      </w:r>
      <w:r w:rsidRPr="00A428E8">
        <w:t xml:space="preserve"> </w:t>
      </w:r>
      <w:r>
        <w:t xml:space="preserve">disease (including parasites), </w:t>
      </w:r>
      <w:r w:rsidRPr="00A428E8">
        <w:t xml:space="preserve">eutrophication, microbiology, </w:t>
      </w:r>
      <w:r>
        <w:t xml:space="preserve">and </w:t>
      </w:r>
      <w:r w:rsidRPr="00A428E8">
        <w:t>xenobiotics).</w:t>
      </w:r>
      <w:r>
        <w:t xml:space="preserve"> Disease aspects are a particular concern. </w:t>
      </w:r>
      <w:r w:rsidRPr="00FB58AA">
        <w:t>We will assess disease risk by considering simple GIS meas</w:t>
      </w:r>
      <w:r>
        <w:t xml:space="preserve">ures of connectivity common in </w:t>
      </w:r>
      <w:r w:rsidRPr="00FB58AA">
        <w:t>disease models</w:t>
      </w:r>
      <w:r>
        <w:t>, and using</w:t>
      </w:r>
      <w:r w:rsidRPr="00FB58AA">
        <w:t xml:space="preserve"> more sophisticated exchange mea</w:t>
      </w:r>
      <w:r>
        <w:t xml:space="preserve">sures of connectivity based on </w:t>
      </w:r>
      <w:r w:rsidRPr="00FB58AA">
        <w:t>circulation models.</w:t>
      </w:r>
    </w:p>
    <w:p w:rsidR="00710275" w:rsidRDefault="00710275" w:rsidP="00710275">
      <w:pPr>
        <w:jc w:val="both"/>
      </w:pPr>
      <w:r>
        <w:t xml:space="preserve">This will be executed following a systems approach, starting with the development and population of an online relational database of cultivated species, gear, and mooring types, and identification and definition of ranges for all relevant factors at the European scale. Where possible, we will build on existing applications such as </w:t>
      </w:r>
      <w:hyperlink r:id="rId5" w:history="1">
        <w:r w:rsidRPr="00C56ED4">
          <w:rPr>
            <w:rStyle w:val="Hyperlink"/>
          </w:rPr>
          <w:t>www.aquaculture.scotland.gov.uk</w:t>
        </w:r>
      </w:hyperlink>
      <w:r>
        <w:t xml:space="preserve">. This work will be developed into a web application which will allow anyone to examine the potential Europe-wide development of culture from the environmental standpoint (feasibility). It will focus on the </w:t>
      </w:r>
      <w:r w:rsidRPr="00EB63E5">
        <w:rPr>
          <w:i/>
        </w:rPr>
        <w:t>potential feasibility</w:t>
      </w:r>
      <w:r>
        <w:t xml:space="preserve"> in coastal waters, and will </w:t>
      </w:r>
      <w:r w:rsidRPr="00EB63E5">
        <w:rPr>
          <w:i/>
        </w:rPr>
        <w:t>not</w:t>
      </w:r>
      <w:r>
        <w:t xml:space="preserve"> address the influence of aquaculture on the environment, because the final siting decision is multi-sectorial by nature of the definition of carrying capacity (production, ecological, social, governance). Other elements of </w:t>
      </w:r>
      <w:r w:rsidRPr="00BE5E0C">
        <w:rPr>
          <w:b/>
          <w:i/>
        </w:rPr>
        <w:t>AquaSpace</w:t>
      </w:r>
      <w:r>
        <w:t xml:space="preserve"> (WP3 and WP5) will then propose and apply tools to optimise access to space and high quality water in relation to environmental constraints, and exemplify the underlying application through the case studies in WP4 </w:t>
      </w:r>
      <w:r w:rsidRPr="002741C0">
        <w:t>(see diagram in WP5).</w:t>
      </w:r>
    </w:p>
    <w:p w:rsidR="00710275" w:rsidRDefault="00710275" w:rsidP="00710275">
      <w:pPr>
        <w:jc w:val="both"/>
      </w:pPr>
      <w:r>
        <w:t>In the freshwater context the regional study (Task 2.1) will also evaluate how hydrogeological factors (availability and distance to surface and underground waters, soil characteristics – this task), and proximity to bird reserves influences localization of aquaculture investments (Task 2.3).</w:t>
      </w:r>
    </w:p>
    <w:p w:rsidR="001636DB" w:rsidRDefault="001636DB" w:rsidP="001636DB">
      <w:pPr>
        <w:spacing w:before="60" w:after="60"/>
      </w:pPr>
      <w:r>
        <w:t>D2.5 On-line Environmental Feasibility application (month 20).</w:t>
      </w:r>
    </w:p>
    <w:p w:rsidR="00AF641C" w:rsidRDefault="00AF641C" w:rsidP="00AF641C">
      <w:pPr>
        <w:pStyle w:val="Heading2"/>
      </w:pPr>
      <w:r>
        <w:t>Summary minutes</w:t>
      </w:r>
    </w:p>
    <w:p w:rsidR="00AF641C" w:rsidRDefault="00AF641C" w:rsidP="00AF641C">
      <w:pPr>
        <w:spacing w:before="60" w:after="60"/>
      </w:pPr>
      <w:r>
        <w:t>1000-1100 h</w:t>
      </w:r>
    </w:p>
    <w:p w:rsidR="00AF641C" w:rsidRDefault="00AF641C" w:rsidP="00AF641C">
      <w:pPr>
        <w:spacing w:before="60" w:after="60"/>
      </w:pPr>
      <w:r>
        <w:t>Present: JAM (FAO), RAC, JGF (LLE), JG (UCC), VS, AG (TI), YK + 1 (UC), 1 (AZTI), OS (IMR), NARIC</w:t>
      </w:r>
      <w:r w:rsidR="006325EE">
        <w:t>, JG (UD), KB, TOH (SAMS)</w:t>
      </w:r>
    </w:p>
    <w:p w:rsidR="00AF641C" w:rsidRDefault="00AF641C" w:rsidP="00AF641C">
      <w:pPr>
        <w:spacing w:before="60" w:after="60"/>
      </w:pPr>
      <w:r>
        <w:t>Discussed what, how, and when for Task</w:t>
      </w:r>
      <w:r w:rsidR="00021248">
        <w:t xml:space="preserve"> </w:t>
      </w:r>
      <w:r>
        <w:t>2.2</w:t>
      </w:r>
    </w:p>
    <w:p w:rsidR="00AF641C" w:rsidRDefault="00AF641C" w:rsidP="00AF641C">
      <w:pPr>
        <w:pStyle w:val="ListParagraph"/>
        <w:numPr>
          <w:ilvl w:val="0"/>
          <w:numId w:val="1"/>
        </w:numPr>
        <w:spacing w:before="60" w:after="60"/>
      </w:pPr>
      <w:r>
        <w:t>Focus is on how environment conditions aquaculture</w:t>
      </w:r>
    </w:p>
    <w:p w:rsidR="00AF641C" w:rsidRDefault="00AF641C" w:rsidP="00AF641C">
      <w:pPr>
        <w:pStyle w:val="ListParagraph"/>
        <w:numPr>
          <w:ilvl w:val="0"/>
          <w:numId w:val="1"/>
        </w:numPr>
        <w:spacing w:before="60" w:after="60"/>
      </w:pPr>
      <w:r>
        <w:t>Breakdown into warm-water/cold-water, fed/extractive</w:t>
      </w:r>
    </w:p>
    <w:p w:rsidR="00AF641C" w:rsidRDefault="00AF641C" w:rsidP="00AF641C">
      <w:pPr>
        <w:pStyle w:val="ListParagraph"/>
        <w:numPr>
          <w:ilvl w:val="0"/>
          <w:numId w:val="1"/>
        </w:numPr>
        <w:spacing w:before="60" w:after="60"/>
      </w:pPr>
      <w:r>
        <w:t>Consideration of seaweeds? OS supports it</w:t>
      </w:r>
      <w:r w:rsidR="006325EE">
        <w:t xml:space="preserve"> (I don’t)</w:t>
      </w:r>
    </w:p>
    <w:p w:rsidR="00AF641C" w:rsidRDefault="006325EE" w:rsidP="00AF641C">
      <w:pPr>
        <w:pStyle w:val="ListParagraph"/>
        <w:numPr>
          <w:ilvl w:val="0"/>
          <w:numId w:val="1"/>
        </w:numPr>
        <w:spacing w:before="60" w:after="60"/>
      </w:pPr>
      <w:r>
        <w:t>GIS broad-scale, tap into JAM data</w:t>
      </w:r>
    </w:p>
    <w:p w:rsidR="001636DB" w:rsidRDefault="00021248" w:rsidP="00021248">
      <w:pPr>
        <w:pStyle w:val="ListParagraph"/>
        <w:numPr>
          <w:ilvl w:val="0"/>
          <w:numId w:val="1"/>
        </w:numPr>
        <w:spacing w:before="60" w:after="60"/>
      </w:pPr>
      <w:r>
        <w:t>Use EAS Rotterdam for a back to back meeting</w:t>
      </w:r>
    </w:p>
    <w:sectPr w:rsidR="001636DB" w:rsidSect="009E0B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5B01"/>
    <w:multiLevelType w:val="hybridMultilevel"/>
    <w:tmpl w:val="03CE3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E21410"/>
    <w:multiLevelType w:val="hybridMultilevel"/>
    <w:tmpl w:val="C3F4E8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77D50BC"/>
    <w:multiLevelType w:val="hybridMultilevel"/>
    <w:tmpl w:val="09A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733A7F"/>
    <w:multiLevelType w:val="hybridMultilevel"/>
    <w:tmpl w:val="A83A5B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useFELayout/>
  </w:compat>
  <w:rsids>
    <w:rsidRoot w:val="00710275"/>
    <w:rsid w:val="00021248"/>
    <w:rsid w:val="001636DB"/>
    <w:rsid w:val="003D25FA"/>
    <w:rsid w:val="006325EE"/>
    <w:rsid w:val="006C243E"/>
    <w:rsid w:val="00710275"/>
    <w:rsid w:val="009E0B2B"/>
    <w:rsid w:val="00AF641C"/>
    <w:rsid w:val="00E460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1C"/>
    <w:pPr>
      <w:spacing w:after="0" w:line="240" w:lineRule="auto"/>
    </w:pPr>
    <w:rPr>
      <w:sz w:val="24"/>
      <w:szCs w:val="24"/>
    </w:rPr>
  </w:style>
  <w:style w:type="paragraph" w:styleId="Heading1">
    <w:name w:val="heading 1"/>
    <w:basedOn w:val="Normal"/>
    <w:next w:val="Normal"/>
    <w:link w:val="Heading1Char"/>
    <w:uiPriority w:val="9"/>
    <w:qFormat/>
    <w:rsid w:val="00AF641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F641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F641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F641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641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641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641C"/>
    <w:pPr>
      <w:spacing w:before="240" w:after="60"/>
      <w:outlineLvl w:val="6"/>
    </w:pPr>
  </w:style>
  <w:style w:type="paragraph" w:styleId="Heading8">
    <w:name w:val="heading 8"/>
    <w:basedOn w:val="Normal"/>
    <w:next w:val="Normal"/>
    <w:link w:val="Heading8Char"/>
    <w:uiPriority w:val="9"/>
    <w:semiHidden/>
    <w:unhideWhenUsed/>
    <w:qFormat/>
    <w:rsid w:val="00AF641C"/>
    <w:pPr>
      <w:spacing w:before="240" w:after="60"/>
      <w:outlineLvl w:val="7"/>
    </w:pPr>
    <w:rPr>
      <w:i/>
      <w:iCs/>
    </w:rPr>
  </w:style>
  <w:style w:type="paragraph" w:styleId="Heading9">
    <w:name w:val="heading 9"/>
    <w:basedOn w:val="Normal"/>
    <w:next w:val="Normal"/>
    <w:link w:val="Heading9Char"/>
    <w:uiPriority w:val="9"/>
    <w:semiHidden/>
    <w:unhideWhenUsed/>
    <w:qFormat/>
    <w:rsid w:val="00AF641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275"/>
    <w:rPr>
      <w:color w:val="0000FF"/>
      <w:u w:val="single"/>
    </w:rPr>
  </w:style>
  <w:style w:type="character" w:customStyle="1" w:styleId="Heading1Char">
    <w:name w:val="Heading 1 Char"/>
    <w:basedOn w:val="DefaultParagraphFont"/>
    <w:link w:val="Heading1"/>
    <w:uiPriority w:val="9"/>
    <w:rsid w:val="00AF641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F641C"/>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AF641C"/>
    <w:pPr>
      <w:ind w:left="720"/>
      <w:contextualSpacing/>
    </w:pPr>
  </w:style>
  <w:style w:type="character" w:customStyle="1" w:styleId="Heading3Char">
    <w:name w:val="Heading 3 Char"/>
    <w:basedOn w:val="DefaultParagraphFont"/>
    <w:link w:val="Heading3"/>
    <w:uiPriority w:val="9"/>
    <w:rsid w:val="00AF641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F641C"/>
    <w:rPr>
      <w:b/>
      <w:bCs/>
      <w:sz w:val="28"/>
      <w:szCs w:val="28"/>
    </w:rPr>
  </w:style>
  <w:style w:type="character" w:customStyle="1" w:styleId="Heading5Char">
    <w:name w:val="Heading 5 Char"/>
    <w:basedOn w:val="DefaultParagraphFont"/>
    <w:link w:val="Heading5"/>
    <w:uiPriority w:val="9"/>
    <w:semiHidden/>
    <w:rsid w:val="00AF641C"/>
    <w:rPr>
      <w:b/>
      <w:bCs/>
      <w:i/>
      <w:iCs/>
      <w:sz w:val="26"/>
      <w:szCs w:val="26"/>
    </w:rPr>
  </w:style>
  <w:style w:type="character" w:customStyle="1" w:styleId="Heading6Char">
    <w:name w:val="Heading 6 Char"/>
    <w:basedOn w:val="DefaultParagraphFont"/>
    <w:link w:val="Heading6"/>
    <w:uiPriority w:val="9"/>
    <w:semiHidden/>
    <w:rsid w:val="00AF641C"/>
    <w:rPr>
      <w:b/>
      <w:bCs/>
    </w:rPr>
  </w:style>
  <w:style w:type="character" w:customStyle="1" w:styleId="Heading7Char">
    <w:name w:val="Heading 7 Char"/>
    <w:basedOn w:val="DefaultParagraphFont"/>
    <w:link w:val="Heading7"/>
    <w:uiPriority w:val="9"/>
    <w:semiHidden/>
    <w:rsid w:val="00AF641C"/>
    <w:rPr>
      <w:sz w:val="24"/>
      <w:szCs w:val="24"/>
    </w:rPr>
  </w:style>
  <w:style w:type="character" w:customStyle="1" w:styleId="Heading8Char">
    <w:name w:val="Heading 8 Char"/>
    <w:basedOn w:val="DefaultParagraphFont"/>
    <w:link w:val="Heading8"/>
    <w:uiPriority w:val="9"/>
    <w:semiHidden/>
    <w:rsid w:val="00AF641C"/>
    <w:rPr>
      <w:i/>
      <w:iCs/>
      <w:sz w:val="24"/>
      <w:szCs w:val="24"/>
    </w:rPr>
  </w:style>
  <w:style w:type="character" w:customStyle="1" w:styleId="Heading9Char">
    <w:name w:val="Heading 9 Char"/>
    <w:basedOn w:val="DefaultParagraphFont"/>
    <w:link w:val="Heading9"/>
    <w:uiPriority w:val="9"/>
    <w:semiHidden/>
    <w:rsid w:val="00AF641C"/>
    <w:rPr>
      <w:rFonts w:asciiTheme="majorHAnsi" w:eastAsiaTheme="majorEastAsia" w:hAnsiTheme="majorHAnsi"/>
    </w:rPr>
  </w:style>
  <w:style w:type="paragraph" w:styleId="Title">
    <w:name w:val="Title"/>
    <w:basedOn w:val="Normal"/>
    <w:next w:val="Normal"/>
    <w:link w:val="TitleChar"/>
    <w:uiPriority w:val="10"/>
    <w:qFormat/>
    <w:rsid w:val="00AF641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F641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F641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641C"/>
    <w:rPr>
      <w:rFonts w:asciiTheme="majorHAnsi" w:eastAsiaTheme="majorEastAsia" w:hAnsiTheme="majorHAnsi"/>
      <w:sz w:val="24"/>
      <w:szCs w:val="24"/>
    </w:rPr>
  </w:style>
  <w:style w:type="character" w:styleId="Strong">
    <w:name w:val="Strong"/>
    <w:basedOn w:val="DefaultParagraphFont"/>
    <w:uiPriority w:val="22"/>
    <w:qFormat/>
    <w:rsid w:val="00AF641C"/>
    <w:rPr>
      <w:b/>
      <w:bCs/>
    </w:rPr>
  </w:style>
  <w:style w:type="character" w:styleId="Emphasis">
    <w:name w:val="Emphasis"/>
    <w:basedOn w:val="DefaultParagraphFont"/>
    <w:uiPriority w:val="20"/>
    <w:qFormat/>
    <w:rsid w:val="00AF641C"/>
    <w:rPr>
      <w:rFonts w:asciiTheme="minorHAnsi" w:hAnsiTheme="minorHAnsi"/>
      <w:b/>
      <w:i/>
      <w:iCs/>
    </w:rPr>
  </w:style>
  <w:style w:type="paragraph" w:styleId="NoSpacing">
    <w:name w:val="No Spacing"/>
    <w:basedOn w:val="Normal"/>
    <w:uiPriority w:val="1"/>
    <w:qFormat/>
    <w:rsid w:val="00AF641C"/>
    <w:rPr>
      <w:szCs w:val="32"/>
    </w:rPr>
  </w:style>
  <w:style w:type="paragraph" w:styleId="Quote">
    <w:name w:val="Quote"/>
    <w:basedOn w:val="Normal"/>
    <w:next w:val="Normal"/>
    <w:link w:val="QuoteChar"/>
    <w:uiPriority w:val="29"/>
    <w:qFormat/>
    <w:rsid w:val="00AF641C"/>
    <w:rPr>
      <w:i/>
    </w:rPr>
  </w:style>
  <w:style w:type="character" w:customStyle="1" w:styleId="QuoteChar">
    <w:name w:val="Quote Char"/>
    <w:basedOn w:val="DefaultParagraphFont"/>
    <w:link w:val="Quote"/>
    <w:uiPriority w:val="29"/>
    <w:rsid w:val="00AF641C"/>
    <w:rPr>
      <w:i/>
      <w:sz w:val="24"/>
      <w:szCs w:val="24"/>
    </w:rPr>
  </w:style>
  <w:style w:type="paragraph" w:styleId="IntenseQuote">
    <w:name w:val="Intense Quote"/>
    <w:basedOn w:val="Normal"/>
    <w:next w:val="Normal"/>
    <w:link w:val="IntenseQuoteChar"/>
    <w:uiPriority w:val="30"/>
    <w:qFormat/>
    <w:rsid w:val="00AF641C"/>
    <w:pPr>
      <w:ind w:left="720" w:right="720"/>
    </w:pPr>
    <w:rPr>
      <w:b/>
      <w:i/>
      <w:szCs w:val="22"/>
    </w:rPr>
  </w:style>
  <w:style w:type="character" w:customStyle="1" w:styleId="IntenseQuoteChar">
    <w:name w:val="Intense Quote Char"/>
    <w:basedOn w:val="DefaultParagraphFont"/>
    <w:link w:val="IntenseQuote"/>
    <w:uiPriority w:val="30"/>
    <w:rsid w:val="00AF641C"/>
    <w:rPr>
      <w:b/>
      <w:i/>
      <w:sz w:val="24"/>
    </w:rPr>
  </w:style>
  <w:style w:type="character" w:styleId="SubtleEmphasis">
    <w:name w:val="Subtle Emphasis"/>
    <w:uiPriority w:val="19"/>
    <w:qFormat/>
    <w:rsid w:val="00AF641C"/>
    <w:rPr>
      <w:i/>
      <w:color w:val="5A5A5A" w:themeColor="text1" w:themeTint="A5"/>
    </w:rPr>
  </w:style>
  <w:style w:type="character" w:styleId="IntenseEmphasis">
    <w:name w:val="Intense Emphasis"/>
    <w:basedOn w:val="DefaultParagraphFont"/>
    <w:uiPriority w:val="21"/>
    <w:qFormat/>
    <w:rsid w:val="00AF641C"/>
    <w:rPr>
      <w:b/>
      <w:i/>
      <w:sz w:val="24"/>
      <w:szCs w:val="24"/>
      <w:u w:val="single"/>
    </w:rPr>
  </w:style>
  <w:style w:type="character" w:styleId="SubtleReference">
    <w:name w:val="Subtle Reference"/>
    <w:basedOn w:val="DefaultParagraphFont"/>
    <w:uiPriority w:val="31"/>
    <w:qFormat/>
    <w:rsid w:val="00AF641C"/>
    <w:rPr>
      <w:sz w:val="24"/>
      <w:szCs w:val="24"/>
      <w:u w:val="single"/>
    </w:rPr>
  </w:style>
  <w:style w:type="character" w:styleId="IntenseReference">
    <w:name w:val="Intense Reference"/>
    <w:basedOn w:val="DefaultParagraphFont"/>
    <w:uiPriority w:val="32"/>
    <w:qFormat/>
    <w:rsid w:val="00AF641C"/>
    <w:rPr>
      <w:b/>
      <w:sz w:val="24"/>
      <w:u w:val="single"/>
    </w:rPr>
  </w:style>
  <w:style w:type="character" w:styleId="BookTitle">
    <w:name w:val="Book Title"/>
    <w:basedOn w:val="DefaultParagraphFont"/>
    <w:uiPriority w:val="33"/>
    <w:qFormat/>
    <w:rsid w:val="00AF641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641C"/>
    <w:pPr>
      <w:outlineLvl w:val="9"/>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quaculture.scot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Ferreira</dc:creator>
  <cp:lastModifiedBy>Joao Ferreira</cp:lastModifiedBy>
  <cp:revision>4</cp:revision>
  <dcterms:created xsi:type="dcterms:W3CDTF">2015-03-25T07:45:00Z</dcterms:created>
  <dcterms:modified xsi:type="dcterms:W3CDTF">2015-03-25T18:16:00Z</dcterms:modified>
</cp:coreProperties>
</file>